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214</w:t>
      </w:r>
    </w:p>
    <w:p>
      <w:r>
        <w:t>Bundesgericht (BGE), 1995-07-07, IT</w:t>
      </w:r>
    </w:p>
    <w:p>
      <w:r>
        <w:rPr>
          <w:b/>
        </w:rPr>
        <w:t xml:space="preserve">Quelle: </w:t>
      </w:r>
      <w:r>
        <w:t>https://mcp.opencaselaw.ch/entscheid/bge_121 II 214</w:t>
      </w:r>
    </w:p>
    <w:p>
      <w:r>
        <w:t>FR: ATF 121 II 214</w:t>
      </w:r>
    </w:p>
    <w:p>
      <w:r>
        <w:t>IT: DTF 121 II 214</w:t>
      </w:r>
    </w:p>
    <w:p>
      <w:pPr>
        <w:pStyle w:val="Heading2"/>
      </w:pPr>
      <w:r>
        <w:t>Regeste</w:t>
      </w:r>
    </w:p>
    <w:p>
      <w:r>
        <w:t>Regeste Art. 16 Abs. 2 und 3 SVG, Art. 4 BV; Art. 6 Ziff. 3 lit. d EMRK; Bindung der Verwaltungsbehörden an das Strafurteil; Recht des Angeschuldigten auf Befragung der Belastungszeugen im Führerausweisentzugsverfahren? Wenn der Angeschuldigte weiss oder voraussehen muss, dass gegen ihn ein Führerausweisentzugsverfahren durchgeführt wird, muss er seine Verteidigungsrechte schon im (summarischen) Strafverfahren geltend machen, und die für den Führerausweisentzug zuständige Behörde darf in der Regel nicht von den Tatsachenfeststellungen des rechtskräftigen Strafentscheids abweichen (E. 3a). Auf Grund der Umstände durfte der Beschwerdeführer darauf vertrauen, dass die Entzugsbehörde den Sachverhalt erneut prüfe (E. 3b).</w:t>
      </w:r>
    </w:p>
    <w:p>
      <w:pPr>
        <w:pStyle w:val="Heading2"/>
      </w:pPr>
      <w:r>
        <w:t>Erwägungen</w:t>
      </w:r>
    </w:p>
    <w:p>
      <w:r>
        <w:rPr>
          <w:b/>
        </w:rPr>
        <w:t>E. 3</w:t>
      </w:r>
    </w:p>
    <w:p>
      <w:r>
        <w:t>Il ricorrente censura la violazione del diritto di essere sentito, sancito dall' art. 4 Cost. , nonché dell'art. 6 n. 3 lett. d CEDU, poiché l'autorità amministrativa cantonale non ha accolto la sua richiesta - formulata pure dinanzi all'ultima istanza - di (far) interrogare in sua presenza i testimoni a carico. La revoca a scopo d'ammonimento della licenza di condurre è una decisione sulla fondatezza di un'accusa penale ai sensi dell' art. 6 n. 1 CEDU ( DTF 121 II 22 consid. 3c). Secondo l'art. 6 n. 3 lett. d CEDU, ogni imputato ha il diritto di interrogare o far interrogare i testimoni a carico. Tale diritto è sancito pure dall' art. 4 Cost. , segnatamente dal diritto di essere sentito da esso discendente ( DTF 118 Ia 457 consid. 2b e rinvii). Nella fattispecie, l'autorità amministrativa, segnatamente il Consiglio di Stato del Cantone Ticino quale ultima istanza cantonale, ha dichiarato, a BGE 121 II 214 S. 217 giustificazione del suo rifiuto di dare seguito alla richiesta del ricorrente, di non potersi scostare dalla decisione penale passata in giudicato, segnatamente dagli accertamenti di fatto in essa contenuti. Si pone pertanto il quesito se l'autorità amministrativa cantonale avrebbe dovuto scostarsi da tale giudizio, oppure se doveva considerarlo vincolante per la propria decisione. a) Secondo costante giurisprudenza del Tribunale federale, ove esista nei confronti dell'interessato una denuncia penale o sia presumibile che quest'ultima abbia luogo,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 DTF 119 Ib 158 consid. 2). L'autorità amministrativa competente a ordinare la revoca della licenza di condurre non può scostarsi, salvo eccezioni, dagli accertamenti di fatto contenuti in una decisione penale cresciuta in giudicato. In particolare, l'autorità amministrativa deve attenersi ai fatti accertati nel giudizio penale qualora quest'ultimo sia stato pronunciato secondo la procedura ordinaria, ossia in una pubblica udienza con audizione delle parti e interrogazione dei testimoni a carico e a discarico, salvo che sussistano indizi tali da far ritenere inesatto l'accertamento compiuto, nel cui caso essa può assumere le prove ritenute necessarie ( DTF 119 Ib 158 consid. 3). Nella fattispecie, al ricorrente è stata inflitta una multa di fr. 500.-. Tale condanna non è stata pronunciata nel quadro di una procedura penale ordinaria ai sensi della giurisprudenza sopra illustrata. Non vi è stata alcuna udienza pubblica. X. e Y. non sono stati interrogati formalmente in qualità di testimoni nell'ambito della procedura penale, bensì sono stati sentiti, in assenza del ricorrente, dagli agenti di polizia che hanno redatto il relativo rapporto. Di principio, l'autorità amministrativa non era, quindi, legata all'accertamento dei fatti compiuto in sede penale, e non poteva negare con tale giustificazione il diritto del ricorrente di chiedere l'interrogatorio dei testimoni a carico. Senonché, il principio secondo cui l'autorità amministrativa non può scostarsi dall'accertamento dei fatti operato in sede penale deve valere, a determinate condizioni, pure ove la decisione penale sia stata emanata nell'ambito di una procedura sommaria (Strafbefehlsverfahren), segnatamente ove - come nel caso in esame - la decisione penale si fondi unicamente sul rapporto di polizia, e i testi non siano stati interrogati formalmente, bensì sentiti dagli agenti di polizia BGE 121 II 214 S. 218 in assenza dell'imputato. Ciò è il caso, in particolare, laddove l'imputato sapeva o, vista la gravità dell'infrazione rimproveratagli, doveva prevedere che nei suoi confronti si sarebbe fatto luogo (anche) al procedimento concernente la revoca della licenza di condurre, oppure - come nella fattispecie - ne era stato informato e, ciononostante, ha omesso, nell'ambito della procedura (sommaria) penale, di far valere i diritti garantiti alla difesa, o vi ha rinunciato. In simili circostanze, l'imputato non può (più) attendere il procedimento amministrativo per presentare eventuali censure e mezzi di prova, bensì è tenuto, secondo il principio della buona fede, a proporli già nel quadro della procedura penale (sommaria), nonché ad esaurire, se del caso, i rimedi di diritto disponibili contro il giudizio emanato in tale procedura. Ci si può chiedere se, nella fattispecie, questa regola possa essere opposta al ricorrente. La questione può restare indecisa, dato che l'autorità amministrativa cantonale era comunque tenuta, per il motivo che segue, ad accogliere la richiesta formulata dal ricorrente. b) Il principio della buona fede, discendente dall' art. 4 Cost. , garantisce, da un lato, la protezione della fiducia riposta nelle assicurazioni e nel comportamento dell'autorità, e, dall'altro, vieta l'abuso di diritto e l'adozione di un comportamento contraddittorio (ULRICH HÄFELIN/GEORG MÜLLER, Grundriss des allgemeinen Verwaltungsrecht, 1993, pag. 118, n. 522 segg.; ANDRÉ GRISEL, Traité de droit administratif, 1984, vol. 1, pag. 389 segg.; v. pure DTF 119 IV 330 consid. 1c; DTF 117 Ia 297 consid. 2). Non può prevalersi di tale principio l'amministrato che poteva seriamente dubitare dell'esattezza dell'informazione ricevuta. Nella fattispecie, il ricorrente ha chiesto più volte, nel quadro della procedura relativa alla revoca della licenza di condurre, di (far) interrogare X. e Y.. Con scritto del 28 settembre 1993, l'Ufficio giuridico della Sezione cantonale della circolazione gli ha comunicato che il suo caso, sarebbe stato riesaminato, dal profilo amministrativo, una volta concluso il procedimento penale. Contrariamente a tale avviso, l'autorità amministrativa non ha effettuato alcun complemento d'istruttoria, segnatamente interrogato i testi, dopo che il Tribunale cantonale amministrativo del Cantone Ticino, con sentenza del 1o dicembre 1993 rimasta incontestata, ha respinto siccome tardivo il ricorso inoltrato dal ricorrente contro la condanna ad una multa di fr. 500.- inflittagli in sede penale. Essa ha così violato il principio della buona fede (v. JEAN-FRANÇOIS EGLI, La protection de la bonne foi dans le procès, in: BGE 121 II 214 S. 219 Giurisdizione costituzionale e Giurisdizione amministrativa, 1992, pag. 237). Vista l'assicurazione ricevuta, il ricorrente poteva infatti confidare nel fatto che l'autorità amministrativa avrebbe assunto le prove richieste nell'ambito del procedimento concernente la revoca della licenza, senza ch'egli dovesse previamente esaurire i rimedi di diritto contro il giudizio penale, segnatamente impugnare la decisione d'inammissibilità pronunciata dal Tribunale cantonale amministrativo del Cantone Ticino. Il ricorrente non aveva, d' altronde, motivi per dubitare dell'informazione datagli dall'autorità competente. Al proposito, il principio secondo cui l'autorità amministrativa non può scostarsi dall'accertamento dei fatti operato in sede penale non era, nelle circostanze concrete, suscettibile di mettere in dubbio la validità di tale informazione, dato che finora esso si riferiva, in particolare, ad un giudizio penale pronunciato, diversamente che nel caso in esame, secondo la procedura ordinaria (v. consid. 3a). Ne discende che, per queste ragioni, il gravame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